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EE66" w14:textId="0E08CC46" w:rsidR="00DB68C5" w:rsidRDefault="007779B6">
      <w:pPr>
        <w:rPr>
          <w:b/>
          <w:bCs/>
        </w:rPr>
      </w:pPr>
      <w:r w:rsidRPr="007779B6">
        <w:rPr>
          <w:b/>
          <w:bCs/>
        </w:rPr>
        <w:t>APRESENTAÇÃO</w:t>
      </w:r>
    </w:p>
    <w:p w14:paraId="1E56AE64" w14:textId="77777777" w:rsidR="007779B6" w:rsidRDefault="007779B6">
      <w:pPr>
        <w:rPr>
          <w:b/>
          <w:bCs/>
        </w:rPr>
      </w:pPr>
    </w:p>
    <w:p w14:paraId="6DAD2E54" w14:textId="77777777" w:rsidR="007779B6" w:rsidRPr="007779B6" w:rsidRDefault="007779B6">
      <w:pPr>
        <w:rPr>
          <w:b/>
          <w:bCs/>
          <w:sz w:val="28"/>
          <w:szCs w:val="28"/>
        </w:rPr>
      </w:pPr>
      <w:r w:rsidRPr="007779B6">
        <w:rPr>
          <w:b/>
          <w:bCs/>
          <w:sz w:val="28"/>
          <w:szCs w:val="28"/>
        </w:rPr>
        <w:t>Niceia, 1700 Anos Depois — Legado, Identidade e Missão</w:t>
      </w:r>
      <w:r w:rsidRPr="007779B6">
        <w:rPr>
          <w:b/>
          <w:bCs/>
          <w:sz w:val="28"/>
          <w:szCs w:val="28"/>
        </w:rPr>
        <w:t>.</w:t>
      </w:r>
    </w:p>
    <w:p w14:paraId="321BF1B6" w14:textId="085F4BFC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O ano </w:t>
      </w:r>
      <w:r>
        <w:rPr>
          <w:rFonts w:asciiTheme="minorBidi" w:hAnsiTheme="minorBidi"/>
        </w:rPr>
        <w:t>que</w:t>
      </w:r>
      <w:r w:rsidRPr="007779B6">
        <w:rPr>
          <w:rFonts w:asciiTheme="minorBidi" w:hAnsiTheme="minorBidi"/>
        </w:rPr>
        <w:t xml:space="preserve"> marca um dos marcos mais significativos da história da cristandade: o sesquicentenário de dezessete séculos — os anos — do Concílio de Niceia </w:t>
      </w:r>
      <w:r w:rsidRPr="007779B6">
        <w:rPr>
          <w:rFonts w:asciiTheme="minorBidi" w:hAnsiTheme="minorBidi"/>
        </w:rPr>
        <w:t>(d.C.</w:t>
      </w:r>
      <w:r w:rsidRPr="007779B6">
        <w:rPr>
          <w:rFonts w:asciiTheme="minorBidi" w:hAnsiTheme="minorBidi"/>
        </w:rPr>
        <w:t xml:space="preserve">). Convocado em um momento de transição imperial e efervescência doutrinária, Niceia não apenas estabeleceu as bases da ortodoxia cristã, mas também moldou a estrutura institucional e a identidade teológica que sustentam as igrejas até a contemporaneidade. </w:t>
      </w:r>
    </w:p>
    <w:p w14:paraId="30D25781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Este número da Revista Brasileira de Teologia dedica-se a explorar as múltiplas facetas desse legado, unindo o rigor da pesquisa histórica à relevância da práxis teológica atual. A presente edição abre com um mergulho nas raízes do cristianismo egípcio, cenário onde as tensões </w:t>
      </w:r>
      <w:proofErr w:type="spellStart"/>
      <w:r w:rsidRPr="007779B6">
        <w:rPr>
          <w:rFonts w:asciiTheme="minorBidi" w:hAnsiTheme="minorBidi"/>
        </w:rPr>
        <w:t>nicenas</w:t>
      </w:r>
      <w:proofErr w:type="spellEnd"/>
      <w:r w:rsidRPr="007779B6">
        <w:rPr>
          <w:rFonts w:asciiTheme="minorBidi" w:hAnsiTheme="minorBidi"/>
        </w:rPr>
        <w:t xml:space="preserve"> ganharam contornos dramáticos e decisivos. </w:t>
      </w:r>
    </w:p>
    <w:p w14:paraId="407EC492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No artigo "A produção teológica de Atanásio em copta e a igreja de Alexandria: propostas de interpretação", Vitor Emanoel Correa de Mesquita e Leonardo dos Santos Silveira analisam como a figura de Atanásio, o grande defensor da fé </w:t>
      </w:r>
      <w:proofErr w:type="spellStart"/>
      <w:r w:rsidRPr="007779B6">
        <w:rPr>
          <w:rFonts w:asciiTheme="minorBidi" w:hAnsiTheme="minorBidi"/>
        </w:rPr>
        <w:t>nicena</w:t>
      </w:r>
      <w:proofErr w:type="spellEnd"/>
      <w:r w:rsidRPr="007779B6">
        <w:rPr>
          <w:rFonts w:asciiTheme="minorBidi" w:hAnsiTheme="minorBidi"/>
        </w:rPr>
        <w:t xml:space="preserve">, mediou a teologia grega e a cultura vernacular copta. A pesquisa demonstra que a consolidação da Igreja de Alexandria não foi apenas um embate de ideias, mas um processo de formação de identidade espiritual e institucional que ecoa na disciplina eclesial até hoje. </w:t>
      </w:r>
    </w:p>
    <w:p w14:paraId="125999CC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Dando continuidade ao debate doutrinário central, Mateus Soares Parreiras de Freitas e </w:t>
      </w:r>
      <w:proofErr w:type="spellStart"/>
      <w:r w:rsidRPr="007779B6">
        <w:rPr>
          <w:rFonts w:asciiTheme="minorBidi" w:hAnsiTheme="minorBidi"/>
        </w:rPr>
        <w:t>Valtair</w:t>
      </w:r>
      <w:proofErr w:type="spellEnd"/>
      <w:r w:rsidRPr="007779B6">
        <w:rPr>
          <w:rFonts w:asciiTheme="minorBidi" w:hAnsiTheme="minorBidi"/>
        </w:rPr>
        <w:t xml:space="preserve"> Afonso Miranda apresentam "O </w:t>
      </w:r>
      <w:proofErr w:type="spellStart"/>
      <w:r w:rsidRPr="007779B6">
        <w:rPr>
          <w:rFonts w:asciiTheme="minorBidi" w:hAnsiTheme="minorBidi"/>
        </w:rPr>
        <w:t>homoousios</w:t>
      </w:r>
      <w:proofErr w:type="spellEnd"/>
      <w:r w:rsidRPr="007779B6">
        <w:rPr>
          <w:rFonts w:asciiTheme="minorBidi" w:hAnsiTheme="minorBidi"/>
        </w:rPr>
        <w:t xml:space="preserve"> e a controvérsia ariana no contexto do cristianismo egípcio". Os autores exploram as implicações históricas e </w:t>
      </w:r>
      <w:proofErr w:type="spellStart"/>
      <w:r w:rsidRPr="007779B6">
        <w:rPr>
          <w:rFonts w:asciiTheme="minorBidi" w:hAnsiTheme="minorBidi"/>
        </w:rPr>
        <w:t>soteriológicas</w:t>
      </w:r>
      <w:proofErr w:type="spellEnd"/>
      <w:r w:rsidRPr="007779B6">
        <w:rPr>
          <w:rFonts w:asciiTheme="minorBidi" w:hAnsiTheme="minorBidi"/>
        </w:rPr>
        <w:t xml:space="preserve"> da definição de Niceia, argumentando que o termo </w:t>
      </w:r>
      <w:proofErr w:type="spellStart"/>
      <w:r w:rsidRPr="007779B6">
        <w:rPr>
          <w:rFonts w:asciiTheme="minorBidi" w:hAnsiTheme="minorBidi"/>
        </w:rPr>
        <w:t>homoousios</w:t>
      </w:r>
      <w:proofErr w:type="spellEnd"/>
      <w:r w:rsidRPr="007779B6">
        <w:rPr>
          <w:rFonts w:asciiTheme="minorBidi" w:hAnsiTheme="minorBidi"/>
        </w:rPr>
        <w:t xml:space="preserve"> (consubstancial) foi a resposta necessária para garantir a doutrina da deificação (</w:t>
      </w:r>
      <w:proofErr w:type="spellStart"/>
      <w:r w:rsidRPr="007779B6">
        <w:rPr>
          <w:rFonts w:asciiTheme="minorBidi" w:hAnsiTheme="minorBidi"/>
        </w:rPr>
        <w:t>theosis</w:t>
      </w:r>
      <w:proofErr w:type="spellEnd"/>
      <w:r w:rsidRPr="007779B6">
        <w:rPr>
          <w:rFonts w:asciiTheme="minorBidi" w:hAnsiTheme="minorBidi"/>
        </w:rPr>
        <w:t xml:space="preserve">), conectando a alta cristologia diretamente à esperança da salvação humana. </w:t>
      </w:r>
    </w:p>
    <w:p w14:paraId="1AD7C4A2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A recepção do legado </w:t>
      </w:r>
      <w:proofErr w:type="spellStart"/>
      <w:r w:rsidRPr="007779B6">
        <w:rPr>
          <w:rFonts w:asciiTheme="minorBidi" w:hAnsiTheme="minorBidi"/>
        </w:rPr>
        <w:t>niceno</w:t>
      </w:r>
      <w:proofErr w:type="spellEnd"/>
      <w:r w:rsidRPr="007779B6">
        <w:rPr>
          <w:rFonts w:asciiTheme="minorBidi" w:hAnsiTheme="minorBidi"/>
        </w:rPr>
        <w:t xml:space="preserve"> em tempos mais recentes é abordada em "Responsabilidade do Reino Inaugurado: uma abordagem escatológica em N. T. Wright", de Antônio José </w:t>
      </w:r>
      <w:proofErr w:type="spellStart"/>
      <w:r w:rsidRPr="007779B6">
        <w:rPr>
          <w:rFonts w:asciiTheme="minorBidi" w:hAnsiTheme="minorBidi"/>
        </w:rPr>
        <w:t>Corguinha</w:t>
      </w:r>
      <w:proofErr w:type="spellEnd"/>
      <w:r w:rsidRPr="007779B6">
        <w:rPr>
          <w:rFonts w:asciiTheme="minorBidi" w:hAnsiTheme="minorBidi"/>
        </w:rPr>
        <w:t xml:space="preserve"> Gripp e João Ricardo Boechat Pires de Almeida Sales. Ao dialogar com a teologia contemporânea, o artigo propõe uma fé encarnada que, fiel à tradição de um Deus que se faz presente na história (como afirmado em Niceia), convoca a Igreja a um compromisso ético e social transformador no presente. </w:t>
      </w:r>
    </w:p>
    <w:p w14:paraId="11D20665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A dimensão prática e hermenêutica da fé também encontra espaço nesta edição. Em "A igreja como agente missional relevante na transformação urbana", Miriam Marinho </w:t>
      </w:r>
      <w:proofErr w:type="spellStart"/>
      <w:r w:rsidRPr="007779B6">
        <w:rPr>
          <w:rFonts w:asciiTheme="minorBidi" w:hAnsiTheme="minorBidi"/>
        </w:rPr>
        <w:t>Chrizostimo</w:t>
      </w:r>
      <w:proofErr w:type="spellEnd"/>
      <w:r w:rsidRPr="007779B6">
        <w:rPr>
          <w:rFonts w:asciiTheme="minorBidi" w:hAnsiTheme="minorBidi"/>
        </w:rPr>
        <w:t xml:space="preserve">, Mateus Soares Parreiras de Freitas e Paschoal </w:t>
      </w:r>
      <w:proofErr w:type="spellStart"/>
      <w:r w:rsidRPr="007779B6">
        <w:rPr>
          <w:rFonts w:asciiTheme="minorBidi" w:hAnsiTheme="minorBidi"/>
        </w:rPr>
        <w:t>Piragine</w:t>
      </w:r>
      <w:proofErr w:type="spellEnd"/>
      <w:r w:rsidRPr="007779B6">
        <w:rPr>
          <w:rFonts w:asciiTheme="minorBidi" w:hAnsiTheme="minorBidi"/>
        </w:rPr>
        <w:t xml:space="preserve"> </w:t>
      </w:r>
      <w:r w:rsidRPr="007779B6">
        <w:rPr>
          <w:rFonts w:asciiTheme="minorBidi" w:hAnsiTheme="minorBidi"/>
        </w:rPr>
        <w:lastRenderedPageBreak/>
        <w:t xml:space="preserve">Júnior discutem como a missão da igreja deve se manifestar nas dores e desafios das cidades modernas, unindo proclamação e serviço. </w:t>
      </w:r>
    </w:p>
    <w:p w14:paraId="1D90688D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Complementando essa visão, Amanda Dinucci Almeida Bühler Velasco e Vitor Emanoel Correa de Mesquita, em "A construção de sentido em parábolas agrícolas", utilizam a interface entre linguística cognitiva e hermenêutica bíblica para demonstrar como a simplicidade das narrativas de Jesus continua a gerar sentidos profundos para a fé cristã. </w:t>
      </w:r>
    </w:p>
    <w:p w14:paraId="75D9D680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>Ao celebrarmos os</w:t>
      </w:r>
      <w:r>
        <w:rPr>
          <w:rFonts w:asciiTheme="minorBidi" w:hAnsiTheme="minorBidi"/>
        </w:rPr>
        <w:t xml:space="preserve"> 1700</w:t>
      </w:r>
      <w:r w:rsidRPr="007779B6">
        <w:rPr>
          <w:rFonts w:asciiTheme="minorBidi" w:hAnsiTheme="minorBidi"/>
        </w:rPr>
        <w:t xml:space="preserve"> anos d</w:t>
      </w:r>
      <w:r>
        <w:rPr>
          <w:rFonts w:asciiTheme="minorBidi" w:hAnsiTheme="minorBidi"/>
        </w:rPr>
        <w:t>o concílio de</w:t>
      </w:r>
      <w:r w:rsidRPr="007779B6">
        <w:rPr>
          <w:rFonts w:asciiTheme="minorBidi" w:hAnsiTheme="minorBidi"/>
        </w:rPr>
        <w:t xml:space="preserve"> Niceia, esta edição convida o leitor a perceber que a teologia não é um monumento estático ao passado, mas uma semente viva. Das controvérsias do século IV às transformações urbanas do século XXI, o desafio permanece o mesmo: articular a fé em um Deus que é, ao mesmo tempo, transcendente em Sua glória e imanente em Sua missão de restaurar todas as coisas. </w:t>
      </w:r>
    </w:p>
    <w:p w14:paraId="3F52228E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Desejamos a todos uma leitura inspiradora e reflexiva. </w:t>
      </w:r>
    </w:p>
    <w:p w14:paraId="38B7AF59" w14:textId="77777777" w:rsid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>Coordenação Acadêmica –FABAT/STBSB</w:t>
      </w:r>
    </w:p>
    <w:p w14:paraId="354B3AE5" w14:textId="210ADC71" w:rsidR="007779B6" w:rsidRPr="007779B6" w:rsidRDefault="007779B6" w:rsidP="007779B6">
      <w:pPr>
        <w:jc w:val="both"/>
        <w:rPr>
          <w:rFonts w:asciiTheme="minorBidi" w:hAnsiTheme="minorBidi"/>
        </w:rPr>
      </w:pPr>
      <w:r w:rsidRPr="007779B6">
        <w:rPr>
          <w:rFonts w:asciiTheme="minorBidi" w:hAnsiTheme="minorBidi"/>
        </w:rPr>
        <w:t xml:space="preserve">Coordenação Editorial –Revista </w:t>
      </w:r>
      <w:proofErr w:type="gramStart"/>
      <w:r w:rsidRPr="007779B6">
        <w:rPr>
          <w:rFonts w:asciiTheme="minorBidi" w:hAnsiTheme="minorBidi"/>
        </w:rPr>
        <w:t>Brasileira  de</w:t>
      </w:r>
      <w:proofErr w:type="gramEnd"/>
      <w:r w:rsidRPr="007779B6">
        <w:rPr>
          <w:rFonts w:asciiTheme="minorBidi" w:hAnsiTheme="minorBidi"/>
        </w:rPr>
        <w:t xml:space="preserve"> Teologia</w:t>
      </w:r>
    </w:p>
    <w:sectPr w:rsidR="007779B6" w:rsidRPr="007779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B6"/>
    <w:rsid w:val="002E5291"/>
    <w:rsid w:val="007779B6"/>
    <w:rsid w:val="00AC325C"/>
    <w:rsid w:val="00D30977"/>
    <w:rsid w:val="00DB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DF68"/>
  <w15:chartTrackingRefBased/>
  <w15:docId w15:val="{07F9671F-4F53-4933-B763-FCA172B8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77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7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7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7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7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7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7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7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7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7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7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7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79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79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79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79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79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79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7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7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7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79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79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79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7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79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7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2982</Characters>
  <Application>Microsoft Office Word</Application>
  <DocSecurity>0</DocSecurity>
  <Lines>24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Silva de Araujo</dc:creator>
  <cp:keywords/>
  <dc:description/>
  <cp:lastModifiedBy>Anderson Silva de Araujo</cp:lastModifiedBy>
  <cp:revision>1</cp:revision>
  <dcterms:created xsi:type="dcterms:W3CDTF">2025-12-26T12:46:00Z</dcterms:created>
  <dcterms:modified xsi:type="dcterms:W3CDTF">2025-12-26T12:54:00Z</dcterms:modified>
</cp:coreProperties>
</file>